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61" w:type="dxa"/>
        <w:tblInd w:w="-572" w:type="dxa"/>
        <w:tblLook w:val="04A0" w:firstRow="1" w:lastRow="0" w:firstColumn="1" w:lastColumn="0" w:noHBand="0" w:noVBand="1"/>
      </w:tblPr>
      <w:tblGrid>
        <w:gridCol w:w="10461"/>
      </w:tblGrid>
      <w:tr w:rsidR="00693A3E" w:rsidTr="00BD52E9">
        <w:trPr>
          <w:trHeight w:val="1467"/>
        </w:trPr>
        <w:tc>
          <w:tcPr>
            <w:tcW w:w="10461" w:type="dxa"/>
          </w:tcPr>
          <w:p w:rsidR="00693A3E" w:rsidRDefault="00693A3E" w:rsidP="0093668B"/>
          <w:p w:rsidR="00693A3E" w:rsidRDefault="00693A3E" w:rsidP="0093668B"/>
          <w:tbl>
            <w:tblPr>
              <w:tblStyle w:val="TabloKlavuzu"/>
              <w:tblpPr w:leftFromText="141" w:rightFromText="141" w:vertAnchor="text" w:horzAnchor="page" w:tblpX="202" w:tblpY="-211"/>
              <w:tblOverlap w:val="never"/>
              <w:tblW w:w="9918" w:type="dxa"/>
              <w:tblLook w:val="04A0" w:firstRow="1" w:lastRow="0" w:firstColumn="1" w:lastColumn="0" w:noHBand="0" w:noVBand="1"/>
            </w:tblPr>
            <w:tblGrid>
              <w:gridCol w:w="2101"/>
              <w:gridCol w:w="2523"/>
              <w:gridCol w:w="2048"/>
              <w:gridCol w:w="3246"/>
            </w:tblGrid>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sz w:val="18"/>
                      <w:szCs w:val="18"/>
                    </w:rPr>
                    <w:t>Birimi</w:t>
                  </w:r>
                </w:p>
              </w:tc>
              <w:tc>
                <w:tcPr>
                  <w:tcW w:w="2371" w:type="dxa"/>
                  <w:vAlign w:val="center"/>
                </w:tcPr>
                <w:p w:rsidR="00693A3E" w:rsidRPr="00BC7F0D" w:rsidRDefault="00FD6D48" w:rsidP="0093668B">
                  <w:pPr>
                    <w:rPr>
                      <w:rFonts w:cstheme="minorHAnsi"/>
                      <w:sz w:val="18"/>
                      <w:szCs w:val="18"/>
                    </w:rPr>
                  </w:pPr>
                  <w:r>
                    <w:rPr>
                      <w:rFonts w:cstheme="minorHAnsi"/>
                      <w:sz w:val="18"/>
                      <w:szCs w:val="18"/>
                    </w:rPr>
                    <w:t>İktisadi ve İdari Bilimler Fakültesi</w:t>
                  </w:r>
                </w:p>
              </w:tc>
              <w:tc>
                <w:tcPr>
                  <w:tcW w:w="2094" w:type="dxa"/>
                </w:tcPr>
                <w:p w:rsidR="00693A3E" w:rsidRDefault="00693A3E" w:rsidP="0093668B">
                  <w:pPr>
                    <w:rPr>
                      <w:rFonts w:cstheme="minorHAnsi"/>
                      <w:sz w:val="18"/>
                      <w:szCs w:val="18"/>
                    </w:rPr>
                  </w:pPr>
                  <w:r w:rsidRPr="00BC7F0D">
                    <w:rPr>
                      <w:rFonts w:cstheme="minorHAnsi"/>
                      <w:color w:val="414042"/>
                      <w:w w:val="95"/>
                      <w:sz w:val="18"/>
                      <w:szCs w:val="18"/>
                    </w:rPr>
                    <w:t>Bağlı Olduğu Yönetici</w:t>
                  </w:r>
                </w:p>
              </w:tc>
              <w:tc>
                <w:tcPr>
                  <w:tcW w:w="3301" w:type="dxa"/>
                </w:tcPr>
                <w:p w:rsidR="00000000" w:rsidRDefault="00407D9C">
                  <w:pPr>
                    <w:pStyle w:val="NormalWeb"/>
                    <w:divId w:val="1732387945"/>
                  </w:pPr>
                  <w:r>
                    <w:t>Fakülte Sekreteri</w:t>
                  </w:r>
                </w:p>
                <w:p w:rsidR="00693A3E" w:rsidRDefault="00693A3E" w:rsidP="0093668B">
                  <w:pPr>
                    <w:rPr>
                      <w:rFonts w:cstheme="minorHAnsi"/>
                      <w:sz w:val="18"/>
                      <w:szCs w:val="18"/>
                    </w:rPr>
                  </w:pPr>
                </w:p>
              </w:tc>
            </w:tr>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color w:val="414042"/>
                      <w:sz w:val="18"/>
                      <w:szCs w:val="18"/>
                    </w:rPr>
                  </w:pPr>
                  <w:r>
                    <w:rPr>
                      <w:rFonts w:cstheme="minorHAnsi"/>
                      <w:color w:val="414042"/>
                      <w:sz w:val="18"/>
                      <w:szCs w:val="18"/>
                    </w:rPr>
                    <w:t>Alt Birim Adı</w:t>
                  </w:r>
                </w:p>
              </w:tc>
              <w:tc>
                <w:tcPr>
                  <w:tcW w:w="2371" w:type="dxa"/>
                  <w:vAlign w:val="center"/>
                </w:tcPr>
                <w:p w:rsidR="00000000" w:rsidRDefault="00407D9C">
                  <w:pPr>
                    <w:pStyle w:val="NormalWeb"/>
                    <w:divId w:val="1785152265"/>
                  </w:pPr>
                  <w:r>
                    <w:t>İdari Mali İşler, Satınalma, Taşınır Kayıt Kontrol Yetkilisi, Fakülte Bakım Onarım, Temizlik Personel Sorumluluğu</w:t>
                  </w:r>
                </w:p>
                <w:p w:rsidR="00693A3E"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r w:rsidRPr="00BC7F0D">
                    <w:rPr>
                      <w:rFonts w:cstheme="minorHAnsi"/>
                      <w:color w:val="414042"/>
                      <w:w w:val="90"/>
                      <w:sz w:val="18"/>
                      <w:szCs w:val="18"/>
                    </w:rPr>
                    <w:t>Yerine Vekalet Edecek Kişi</w:t>
                  </w:r>
                </w:p>
              </w:tc>
              <w:tc>
                <w:tcPr>
                  <w:tcW w:w="3301" w:type="dxa"/>
                </w:tcPr>
                <w:p w:rsidR="00000000" w:rsidRDefault="00407D9C">
                  <w:pPr>
                    <w:pStyle w:val="NormalWeb"/>
                    <w:divId w:val="1044792744"/>
                  </w:pPr>
                  <w:r>
                    <w:t>Görevlendirilen personel</w:t>
                  </w:r>
                </w:p>
                <w:p w:rsidR="00693A3E" w:rsidRDefault="00693A3E" w:rsidP="0093668B">
                  <w:pPr>
                    <w:rPr>
                      <w:rFonts w:cstheme="minorHAnsi"/>
                      <w:sz w:val="18"/>
                      <w:szCs w:val="18"/>
                    </w:rPr>
                  </w:pPr>
                </w:p>
              </w:tc>
            </w:tr>
            <w:tr w:rsidR="00693A3E" w:rsidRPr="00BC7F0D" w:rsidTr="00693A3E">
              <w:trPr>
                <w:trHeight w:val="29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w w:val="95"/>
                      <w:sz w:val="18"/>
                      <w:szCs w:val="18"/>
                    </w:rPr>
                    <w:t>Görev Unvanı</w:t>
                  </w:r>
                </w:p>
              </w:tc>
              <w:tc>
                <w:tcPr>
                  <w:tcW w:w="2371" w:type="dxa"/>
                  <w:vAlign w:val="center"/>
                </w:tcPr>
                <w:p w:rsidR="00000000" w:rsidRDefault="00407D9C">
                  <w:pPr>
                    <w:pStyle w:val="NormalWeb"/>
                    <w:divId w:val="1204713968"/>
                  </w:pPr>
                  <w:r>
                    <w:t>Şef</w:t>
                  </w:r>
                </w:p>
                <w:p w:rsidR="00693A3E" w:rsidRPr="00BC7F0D"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p>
              </w:tc>
              <w:tc>
                <w:tcPr>
                  <w:tcW w:w="3301" w:type="dxa"/>
                </w:tcPr>
                <w:p w:rsidR="00693A3E" w:rsidRDefault="00693A3E" w:rsidP="0093668B">
                  <w:pPr>
                    <w:rPr>
                      <w:rFonts w:cstheme="minorHAnsi"/>
                      <w:sz w:val="18"/>
                      <w:szCs w:val="18"/>
                    </w:rPr>
                  </w:pPr>
                </w:p>
              </w:tc>
            </w:tr>
          </w:tbl>
          <w:p w:rsidR="00693A3E" w:rsidRPr="00827E11" w:rsidRDefault="00693A3E" w:rsidP="0093668B"/>
        </w:tc>
      </w:tr>
      <w:tr w:rsidR="000B1650" w:rsidTr="00BD52E9">
        <w:tc>
          <w:tcPr>
            <w:tcW w:w="10461" w:type="dxa"/>
            <w:shd w:val="clear" w:color="auto" w:fill="F2F2F2" w:themeFill="background1" w:themeFillShade="F2"/>
          </w:tcPr>
          <w:p w:rsidR="000B1650" w:rsidRPr="000B1650" w:rsidRDefault="000B1650" w:rsidP="000B1650">
            <w:pPr>
              <w:jc w:val="center"/>
              <w:rPr>
                <w:sz w:val="26"/>
                <w:szCs w:val="26"/>
              </w:rPr>
            </w:pPr>
            <w:r w:rsidRPr="000B1650">
              <w:rPr>
                <w:sz w:val="26"/>
                <w:szCs w:val="26"/>
              </w:rPr>
              <w:t>Görev, Yetki ve Sorumluluklar</w:t>
            </w:r>
          </w:p>
        </w:tc>
      </w:tr>
      <w:tr w:rsidR="000B1650" w:rsidRPr="00284324" w:rsidTr="00BD52E9">
        <w:trPr>
          <w:trHeight w:val="8754"/>
        </w:trPr>
        <w:tc>
          <w:tcPr>
            <w:tcW w:w="10461" w:type="dxa"/>
          </w:tcPr>
          <w:p w:rsidR="00500F8A" w:rsidRPr="00284324" w:rsidRDefault="00500F8A" w:rsidP="00284324">
            <w:pPr>
              <w:pStyle w:val="Default"/>
              <w:jc w:val="both"/>
              <w:rPr>
                <w:rFonts w:asciiTheme="minorHAnsi" w:hAnsiTheme="minorHAnsi" w:cstheme="minorHAnsi"/>
                <w:b/>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0245"/>
            </w:tblGrid>
            <w:tr w:rsidR="00000000">
              <w:trPr>
                <w:divId w:val="1136096399"/>
                <w:trHeight w:val="4723"/>
              </w:trPr>
              <w:tc>
                <w:tcPr>
                  <w:tcW w:w="0" w:type="auto"/>
                  <w:hideMark/>
                </w:tcPr>
                <w:p w:rsidR="00000000" w:rsidRDefault="00407D9C">
                  <w:pPr>
                    <w:numPr>
                      <w:ilvl w:val="0"/>
                      <w:numId w:val="5"/>
                    </w:numPr>
                    <w:spacing w:before="100" w:beforeAutospacing="1" w:after="100" w:afterAutospacing="1" w:line="240" w:lineRule="auto"/>
                    <w:jc w:val="both"/>
                    <w:rPr>
                      <w:rFonts w:eastAsia="Times New Roman"/>
                      <w:sz w:val="24"/>
                      <w:szCs w:val="24"/>
                    </w:rPr>
                  </w:pPr>
                  <w:r>
                    <w:rPr>
                      <w:rFonts w:ascii="Cambria" w:eastAsia="Times New Roman" w:hAnsi="Cambria" w:cs="Calibri"/>
                      <w:color w:val="000000"/>
                    </w:rPr>
                    <w:t>Fakülte Sekreterinin izinli, raporlu, görevli olduğu sürelerde Fakülte Sekreterliğine ve gerçekleştirme görevliliğine vekalet etmek,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 xml:space="preserve">Faaliyet alanı ile ilgili kendisine havale edilen veya istenen iş ve işler ile evrakların/yazıların gereğini eşgüdümlü </w:t>
                  </w:r>
                  <w:r>
                    <w:rPr>
                      <w:rFonts w:ascii="Cambria" w:eastAsia="Times New Roman" w:hAnsi="Cambria" w:cs="Calibri"/>
                      <w:color w:val="000000"/>
                    </w:rPr>
                    <w:t>olarak yapmak, cevap yazılarını hazırlamak (kurum içi-kurum dışı), paraflamak ilgili üst yönetici/yöneticilerin onayına/parafına sunmak,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Fakültenin 4734 sayılı Kamu İhale Kanunu kapsamında satın alma ve Taşınır Mal Yönetmeliği kapsamında gerekli işlemlerin</w:t>
                  </w:r>
                  <w:r>
                    <w:rPr>
                      <w:rFonts w:ascii="Cambria" w:eastAsia="Times New Roman" w:hAnsi="Cambria" w:cs="Calibri"/>
                    </w:rPr>
                    <w:t>i gerçekleştirmek.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 xml:space="preserve">Birimindeki hizmetlerin etkili, verimli ve hızlı bir şekilde sunulmasını sağlamak.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 xml:space="preserve">Yapılan iş ve işlemlere ilişkin kanun, mevzuat ve yönetmelik değişikliklerini takip etmek.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Biriminin çalışma düzeni ile ilgili değişiklikler konusunda F</w:t>
                  </w:r>
                  <w:r>
                    <w:rPr>
                      <w:rFonts w:ascii="Cambria" w:eastAsia="Times New Roman" w:hAnsi="Cambria" w:cs="Calibri"/>
                    </w:rPr>
                    <w:t xml:space="preserve">akülte Sekreterine öneride bulunmak, uygulamalarda görülen aksaklık ve sorunları giderici önlemler almak.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Üniversite harcama birimleri tarafından birimlerine ilişkin olarak istenilen bilgileri, yetki ve görevleri çerçevesinde, oluşturulmasını ve izlenmesi</w:t>
                  </w:r>
                  <w:r>
                    <w:rPr>
                      <w:rFonts w:ascii="Cambria" w:eastAsia="Times New Roman" w:hAnsi="Cambria" w:cs="Calibri"/>
                    </w:rPr>
                    <w:t xml:space="preserve">ni sağlamak.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 xml:space="preserve">Kendi görev alanı içindeki ve diğer birimlerle olan yazılı ve sözlü bilgi akışının tam, doğru ve zamanında oluşmasını sağlamak.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 xml:space="preserve">Satın alma konularında yapılması gereken işlemler ile ilgili olarak ilgili birimle koordineli olarak çalışmak,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Gerçekleştirme ve ödeme evraklarının prosedüre uygun olup olmadığını kontrol etmek.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 xml:space="preserve">Ödeme emri üzerindeki bütçe tertibine, ödenek durumuna ve rakamsal olarak uygunluğuna bakıp kontrol etmek ve Fakülte Sekreterine ulaşmasını sağlamak.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Resmî Gazete, interne</w:t>
                  </w:r>
                  <w:r>
                    <w:rPr>
                      <w:rFonts w:ascii="Cambria" w:eastAsia="Times New Roman" w:hAnsi="Cambria" w:cs="Calibri"/>
                    </w:rPr>
                    <w:t xml:space="preserve">t sitelerinden mevzuata ilişkin değişiklikleri günlük olarak takip etmek.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 xml:space="preserve">Fakültemizin yıllık bütçesini ve serbest oranlarını takip ederek ödeme emri belgelerinin düzenlenmesini sağlamak,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Fakültemizin satın alma işlemleri ve telefon ücretlerinin ödenmesi</w:t>
                  </w:r>
                  <w:r>
                    <w:rPr>
                      <w:rFonts w:ascii="Cambria" w:eastAsia="Times New Roman" w:hAnsi="Cambria" w:cs="Calibri"/>
                    </w:rPr>
                    <w:t xml:space="preserve">ni sağlamak.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 xml:space="preserve">Fakültemizin Taşınır Kayıt İşlemlerinin takip edilmesini sağlamak.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rPr>
                    <w:t xml:space="preserve">Kendi görev alanı kapsamındaki her türlü bilginin her an kullanabilecek durumda tam, doğru ve güncel olarak tutulmasını sağlamak, gerektiğinde rapor hazırlamak.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Görevi ile i</w:t>
                  </w:r>
                  <w:r>
                    <w:rPr>
                      <w:rFonts w:ascii="Cambria" w:eastAsia="Times New Roman" w:hAnsi="Cambria" w:cs="Calibri"/>
                      <w:color w:val="000000"/>
                    </w:rPr>
                    <w:t>lgili mevzuatları takip ederek değişen mevzuatları amirlerine bildirmek,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 xml:space="preserve">Görevi ile ilgili her türlü evrakı standart dosya düzenine göre hazırlamak, dosyalamak ve arşive kaldırmak.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Gelen satın alma taleplerini birim amirinin direktifleri doğrultusunda yap</w:t>
                  </w:r>
                  <w:r>
                    <w:rPr>
                      <w:rFonts w:ascii="Cambria" w:eastAsia="Times New Roman" w:hAnsi="Cambria" w:cs="Calibri"/>
                      <w:color w:val="000000"/>
                    </w:rPr>
                    <w:t>mak.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Satın alma taleplerini mevcut ödenek durumlarını dikkate alarak takip etmek ve birim amirine bilgi vermek.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Mal alımları için; Onay Belgesinin hazırlanması, Piyasa Fiyat Araştırmasının yapılarak Piyasa Fiyat Araştırması Tutanağının hazırlanması, alım y</w:t>
                  </w:r>
                  <w:r>
                    <w:rPr>
                      <w:rFonts w:ascii="Cambria" w:eastAsia="Times New Roman" w:hAnsi="Cambria" w:cs="Calibri"/>
                      <w:color w:val="000000"/>
                    </w:rPr>
                    <w:t xml:space="preserve">apılacak firmaya siparişin geçilmesi, Taşınır İşlem Fişinin düzenlenmesi, Muayene ve Kesin Kabul işlemlerinin yapılması ve Taşınır İşlem Fişi düzenlendikten sonra Ödeme Emri Belgesinin düzenlenerek ödenmesi için Muhasebe Birimine gönderilmesi.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Hizmet alım</w:t>
                  </w:r>
                  <w:r>
                    <w:rPr>
                      <w:rFonts w:ascii="Cambria" w:eastAsia="Times New Roman" w:hAnsi="Cambria" w:cs="Calibri"/>
                      <w:color w:val="000000"/>
                    </w:rPr>
                    <w:t>ları için; Onay Belgesinin hazırlanması, Piyasa Fiyat Araştırmasının yapılarak Piyasa Fiyat Araştırması Tutanağının hazırlanması, Hizmetin yaptırılması, Muayene ve Kesin Kabul işlemlerinin yaptırılması ve Ödeme Emri Belgesinin düzenlenerek ödenmesi için Mu</w:t>
                  </w:r>
                  <w:r>
                    <w:rPr>
                      <w:rFonts w:ascii="Cambria" w:eastAsia="Times New Roman" w:hAnsi="Cambria" w:cs="Calibri"/>
                      <w:color w:val="000000"/>
                    </w:rPr>
                    <w:t>hasebe Birimine gönderilmesi.</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Strateji Daire Başkanlığınca ödeme onayı verilen evrakları ödeme kalemlerine göre tanzim ederek dosyalamak,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 xml:space="preserve">Aboneliğe bağlı alımların (Elektrik, Doğalgaz, Su ve Telefon) ödemelerini yapmak.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Çalışma Esasları ile ilgili plan ve</w:t>
                  </w:r>
                  <w:r>
                    <w:rPr>
                      <w:rFonts w:ascii="Cambria" w:eastAsia="Times New Roman" w:hAnsi="Cambria" w:cs="Calibri"/>
                      <w:color w:val="000000"/>
                    </w:rPr>
                    <w:t xml:space="preserve"> programları yapmak.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 xml:space="preserve">Birimi ile ilgili yazıları teslim almak ve tutanakları imzalamak.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lastRenderedPageBreak/>
                    <w:t>Tüm satın alma iş ve işlemlerini kanun, tüzük, kararname, yönetmelik ve bütçedeki tertiplere uygun yapmak.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Tü</w:t>
                  </w:r>
                  <w:r>
                    <w:rPr>
                      <w:rFonts w:ascii="Cambria" w:eastAsia="Times New Roman" w:hAnsi="Cambria" w:cs="Calibri"/>
                      <w:color w:val="000000"/>
                    </w:rPr>
                    <w:t xml:space="preserve">ketim ve demirbaş (eğitim malzemeleri, kırtasiye, bina bakım ve onarım malzemeleri, ahşap ve metal malzemeleri, elektronik donanım ve teknolojik malzemeleri, makine ve teçhizat alım ve bakımları vb.) malzemelerin satın alma işlemlerini yapmak, </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Muayenesi v</w:t>
                  </w:r>
                  <w:r>
                    <w:rPr>
                      <w:rFonts w:ascii="Cambria" w:eastAsia="Times New Roman" w:hAnsi="Cambria" w:cs="Calibri"/>
                      <w:color w:val="000000"/>
                    </w:rPr>
                    <w:t>e/veya kontrolü gereken taşınır malzemelerin tahlil ve kontrolünü takip etmek.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Satın alınan tüketim ve demirbaş malzemeleri kayıt altına alarak ambara teslim etmek.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 xml:space="preserve">Mal ve hizmet alımına yönelik olarak doğrudan temin yoluyla satın alımlarında; İhtiyacın </w:t>
                  </w:r>
                  <w:r>
                    <w:rPr>
                      <w:rFonts w:ascii="Calibri" w:eastAsia="Times New Roman" w:hAnsi="Calibri" w:cs="Calibri"/>
                    </w:rPr>
                    <w:t>be</w:t>
                  </w:r>
                  <w:r>
                    <w:rPr>
                      <w:rFonts w:ascii="Calibri" w:eastAsia="Times New Roman" w:hAnsi="Calibri" w:cs="Calibri"/>
                    </w:rPr>
                    <w:t xml:space="preserve">lirlenmesi aşamasından, ödeme emri evrakının düzenlenmesi aşamasına kadar geçen süreçleri yürütmek, takip ve kontrolünü yapmak.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Devlet Malzeme Ofisi Genel Müdürlüğünden yapılan alımlara ilişkin olarak; ihtiyaçların belirlenmesinden, ödeme emri evrakının d</w:t>
                  </w:r>
                  <w:r>
                    <w:rPr>
                      <w:rFonts w:ascii="Calibri" w:eastAsia="Times New Roman" w:hAnsi="Calibri" w:cs="Calibri"/>
                    </w:rPr>
                    <w:t xml:space="preserve">üzenlenmesine kadar geçen süreçleri yürütmek, takip ve kontrolünü yapmak.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Görevi ile ilgili süreçleri Üniversitemiz Kalite Politikası ve Kalite Yönetim Sistemi çerçevesinde, kalite hedefleri ve prosedürlerine uygun olarak yürütmek,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Harcama birimince edin</w:t>
                  </w:r>
                  <w:r>
                    <w:rPr>
                      <w:rFonts w:ascii="Calibri" w:eastAsia="Times New Roman" w:hAnsi="Calibri" w:cs="Calibri"/>
                    </w:rPr>
                    <w:t xml:space="preserve">ilen taşınırlardan muayene ve kesin kabulü yapılanları cins ve niteliklerine göre sayarak, tartarak, ölçerek teslim almak, doğrudan tüketilmeyen ve kullanıma verilmeyen taşınırları sorumluluğundaki ambarlarda muhafaza etmek.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Muayene ve kesin kabul işlemi </w:t>
                  </w:r>
                  <w:r>
                    <w:rPr>
                      <w:rFonts w:ascii="Calibri" w:eastAsia="Times New Roman" w:hAnsi="Calibri" w:cs="Calibri"/>
                    </w:rPr>
                    <w:t xml:space="preserve">hemen yapılamayan taşınırları kontrol ederek teslim almak, özellikleri nedeniyle kesin kabulleri belli bir dönem kullanıldıktan sonra yapılabilen sarf malzemeleri hariç olmak üzere, bunların kesin kabulü yapılmadan kullanıma verilmesini önlemek.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Taşınırla</w:t>
                  </w:r>
                  <w:r>
                    <w:rPr>
                      <w:rFonts w:ascii="Calibri" w:eastAsia="Times New Roman" w:hAnsi="Calibri" w:cs="Calibri"/>
                    </w:rPr>
                    <w:t xml:space="preserve">rın giriş ve çıkışına ilişkin kayıtları tutmak, bunlara ilişkin belge ve cetvelleri düzenlemek ve taşınır mal yönetim hesap cetvellerini istenilmesi halinde konsolide görevlisine göndermek.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Tüketime veya kullanıma verilmesi uygun görülen taşınırları ilgil</w:t>
                  </w:r>
                  <w:r>
                    <w:rPr>
                      <w:rFonts w:ascii="Calibri" w:eastAsia="Times New Roman" w:hAnsi="Calibri" w:cs="Calibri"/>
                    </w:rPr>
                    <w:t xml:space="preserve">ilere teslim etmek.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Taşınırların yangına, ıslanmaya, bozulmaya, çalınmaya ve benzeri tehlikelere karşı korunması için gerekli tedbirleri almak ve alınmasını sağlamak.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Ambarda çalınma veya olağanüstü nedenlerden dolayı meydana gelen azalmaları harcama yet</w:t>
                  </w:r>
                  <w:r>
                    <w:rPr>
                      <w:rFonts w:ascii="Calibri" w:eastAsia="Times New Roman" w:hAnsi="Calibri" w:cs="Calibri"/>
                    </w:rPr>
                    <w:t xml:space="preserve">kilisine bildirmek.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Ambar sayımını ve stok kontrolünü yapmak, harcama yetkilisince belirlenen asgari stok seviyesinin altına düşen taşınırları harcama yetkilisine bildirmek.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Kullanımda bulunan dayanıklı taşınırları bulundukları yerde kontrol etmek, sayımlarını yapmak ve yaptırmak,</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color w:val="000000"/>
                    </w:rPr>
                    <w:t>Ekonomik ömrünü tamamlamış olan veya tamamlamadığı halde teknik ve fiziki nedenlerle alınış amaçları doğrultusunda kullanılması imkânı kalmayan ya d</w:t>
                  </w:r>
                  <w:r>
                    <w:rPr>
                      <w:rFonts w:ascii="Calibri" w:eastAsia="Times New Roman" w:hAnsi="Calibri" w:cs="Calibri"/>
                      <w:color w:val="000000"/>
                    </w:rPr>
                    <w:t xml:space="preserve">a tamiri mümkün veya ekonomik olmayan arızalar nedeniyle kullanılmasında yarar görülmeyerek hizmet dışı bırakılan taşınırları hurdaya </w:t>
                  </w:r>
                  <w:r>
                    <w:rPr>
                      <w:rFonts w:ascii="Calibri" w:eastAsia="Times New Roman" w:hAnsi="Calibri" w:cs="Calibri"/>
                    </w:rPr>
                    <w:t>  ayırmak,</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Harcama biriminin malzeme ihtiyaç planlamasının yapılmasına yardımcı olmak.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Kayıtlarını tuttuğu taşınırların y</w:t>
                  </w:r>
                  <w:r>
                    <w:rPr>
                      <w:rFonts w:ascii="Calibri" w:eastAsia="Times New Roman" w:hAnsi="Calibri" w:cs="Calibri"/>
                    </w:rPr>
                    <w:t xml:space="preserve">önetim hesabını hazırlamak ve harcama yetkilisine sunulmak üzere taşınır kontrol yetkilisine teslim etmek.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Ambarlarında kasıt, kusur, ihmal veya tedbirsizlikleri nedeniyle meydana gelen kayıp ve noksanlıklardan sorumlu olmak.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Ambarlarını devir ve teslim </w:t>
                  </w:r>
                  <w:r>
                    <w:rPr>
                      <w:rFonts w:ascii="Calibri" w:eastAsia="Times New Roman" w:hAnsi="Calibri" w:cs="Calibri"/>
                    </w:rPr>
                    <w:t xml:space="preserve">etmeden, görevlerinden ayrılmamak.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Faaliyet alanı ile ilgili kendisine havale edilen veya istenen iş ve işler ile evrakların/yazıların gereğini eşgüdümlü olarak yapmak, cevap yazılarını hazırlamak (kurum içi-kurum dışı), paraflamak ilgili üst yönetici/yön</w:t>
                  </w:r>
                  <w:r>
                    <w:rPr>
                      <w:rFonts w:ascii="Calibri" w:eastAsia="Times New Roman" w:hAnsi="Calibri" w:cs="Calibri"/>
                    </w:rPr>
                    <w:t xml:space="preserve">eticilerin onayına/parafına sunmak,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Görevlerini yaparken, işin normal akışını aksatmamak, birim personeli ile uyumlu çalışmak, işlerin zamanında ve tam olarak bitirilmesi için kendinden beklenen azami gayreti göstermek.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lastRenderedPageBreak/>
                    <w:t>Gerçekleştirdiği faaliyetlerin akı</w:t>
                  </w:r>
                  <w:r>
                    <w:rPr>
                      <w:rFonts w:ascii="Calibri" w:eastAsia="Times New Roman" w:hAnsi="Calibri" w:cs="Calibri"/>
                    </w:rPr>
                    <w:t>beti ile ilgili olarak Harcama Yetkilisine periyodik olarak bilgi vermek; verilen görevlerin, herhangi bir nedenle zamanında bitirilemeyeceği durumlarda, gecikmeye meydan vermeden, Harcama Yetkilisini ve Taşınır Kontrol Yetkilisini, konudan haberdar etmek.</w:t>
                  </w:r>
                  <w:r>
                    <w:rPr>
                      <w:rFonts w:ascii="Calibri" w:eastAsia="Times New Roman" w:hAnsi="Calibri" w:cs="Calibri"/>
                    </w:rPr>
                    <w:t xml:space="preserve">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Gerçekleştirdiği faaliyetlerle ilgili sorunları ve tavsiyeleri Harcama Yetkilisine ve Taşınır Kontrol Yetkilisine iletmek.</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Görevi ile ilgili süreçleri Üniversitemiz Kalite Politikası ve Kalite Yönetim Sistemi çerçevesinde, kalite hedefleri ve prosedürler</w:t>
                  </w:r>
                  <w:r>
                    <w:rPr>
                      <w:rFonts w:ascii="Calibri" w:eastAsia="Times New Roman" w:hAnsi="Calibri" w:cs="Calibri"/>
                    </w:rPr>
                    <w:t xml:space="preserve">ine uygun olarak yürütmek,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Bağlı bulunduğu yönetici veya üst yöneticilerin, görev alanı ile ilgili vereceği diğer işleri iş sağlığı ve güvenliği kurallarına uygun olarak yapmak, </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Fakülte içi ve dışı temizlik hizmetlerinin Fakültede görevli sürekli işçiler</w:t>
                  </w:r>
                  <w:r>
                    <w:rPr>
                      <w:rFonts w:ascii="Calibri" w:eastAsia="Times New Roman" w:hAnsi="Calibri" w:cs="Calibri"/>
                    </w:rPr>
                    <w:t xml:space="preserve"> ile yapılmasını sağlamak, koordine etmek, kontrol etmek,</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Sürekli işçilerin işe geliş ve gidiş saatlerini kontrol etmek,</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Temizlik hizmetlerinde ihtiyaç duyulan temizlik araç, gereç ve malzemelerinin temini için ilgili daire başkanlığına talep yazısı yazmak</w:t>
                  </w:r>
                  <w:r>
                    <w:rPr>
                      <w:rFonts w:ascii="Calibri" w:eastAsia="Times New Roman" w:hAnsi="Calibri" w:cs="Calibri"/>
                    </w:rPr>
                    <w:t>,</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Fakülteye gelen temizlik araç, gereç ve malzemelerini ilgili personele dağıtmak,</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Fakültede bulunan ana giriş, kat ve kapı isimliklerini düzenlemek,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Fakültede görevli akademik ve idari personellerden unvanı değişenlerin isimliklerini yeniden düzenlemek,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Sınıflarda kullanılan bilgisayar, projeksiyon vb. gibi elektronik cihazların arızalarını takip etmek, onarılmasını sağlamak, değiştirmek, gerektiğinde Bilgi İşlem Daire Başkanlığına arızayı bildirmek,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Akademik ve idari personelin üzerine zimmetli tüm elekt</w:t>
                  </w:r>
                  <w:r>
                    <w:rPr>
                      <w:rFonts w:ascii="Cambria" w:eastAsia="Times New Roman" w:hAnsi="Cambria" w:cs="Calibri"/>
                      <w:color w:val="000000"/>
                    </w:rPr>
                    <w:t>ronik cihazların arızalarını takip etmek, onarılmasını sağlamak, değiştirmek, gerektiğinde Bilgi İşlem Daire Başkanlığına arızayı bildirmek,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Sıfır atık projesi kapsamında atıkların cinslerine göre ayrıştırılarak toplanmasını sağlamak, tartılarak haftalık a</w:t>
                  </w:r>
                  <w:r>
                    <w:rPr>
                      <w:rFonts w:ascii="Cambria" w:eastAsia="Times New Roman" w:hAnsi="Cambria" w:cs="Calibri"/>
                      <w:color w:val="000000"/>
                    </w:rPr>
                    <w:t>tık listesinin hazırlanmasını sağlamak,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Sürekli işçiler tarafından düzenlenen aylık atık listesini Çevre ve Şehircilik Bakanlığı, Entegre Çevre Bilgi Sistemine (EÇBS) girişini yapmak,</w:t>
                  </w:r>
                </w:p>
                <w:p w:rsidR="00000000" w:rsidRDefault="00407D9C">
                  <w:pPr>
                    <w:numPr>
                      <w:ilvl w:val="0"/>
                      <w:numId w:val="5"/>
                    </w:numPr>
                    <w:spacing w:before="100" w:beforeAutospacing="1" w:after="100" w:afterAutospacing="1" w:line="240" w:lineRule="auto"/>
                    <w:jc w:val="both"/>
                    <w:rPr>
                      <w:rFonts w:eastAsia="Times New Roman"/>
                    </w:rPr>
                  </w:pPr>
                  <w:r>
                    <w:rPr>
                      <w:rFonts w:ascii="Cambria" w:eastAsia="Times New Roman" w:hAnsi="Cambria" w:cs="Calibri"/>
                      <w:color w:val="000000"/>
                    </w:rPr>
                    <w:t>Fakülte ile ilgili duyuruları düzenleyerek duyuru televizyonlarından yay</w:t>
                  </w:r>
                  <w:r>
                    <w:rPr>
                      <w:rFonts w:ascii="Cambria" w:eastAsia="Times New Roman" w:hAnsi="Cambria" w:cs="Calibri"/>
                      <w:color w:val="000000"/>
                    </w:rPr>
                    <w:t>ınlamak,</w:t>
                  </w:r>
                </w:p>
                <w:p w:rsidR="00000000" w:rsidRDefault="00407D9C">
                  <w:pPr>
                    <w:numPr>
                      <w:ilvl w:val="0"/>
                      <w:numId w:val="5"/>
                    </w:numPr>
                    <w:spacing w:before="100" w:beforeAutospacing="1" w:after="100" w:afterAutospacing="1" w:line="240" w:lineRule="auto"/>
                    <w:jc w:val="both"/>
                    <w:rPr>
                      <w:rFonts w:eastAsia="Times New Roman"/>
                    </w:rPr>
                  </w:pPr>
                  <w:r>
                    <w:rPr>
                      <w:rFonts w:ascii="Calibri" w:eastAsia="Times New Roman" w:hAnsi="Calibri" w:cs="Calibri"/>
                    </w:rPr>
                    <w:t xml:space="preserve">İdari ve Mali İşler Şefi, yukarıda yazılı olan bütün bu görevleri kanunlara ve yönetmeliklere uygun olarak yerine getirirken Fakülte Sekreterine ve Dekana karşı sorumludur. </w:t>
                  </w:r>
                </w:p>
              </w:tc>
            </w:tr>
          </w:tbl>
          <w:p w:rsidR="00000000" w:rsidRDefault="00407D9C">
            <w:pPr>
              <w:divId w:val="1136096399"/>
              <w:rPr>
                <w:rFonts w:eastAsia="Times New Roman"/>
              </w:rPr>
            </w:pPr>
          </w:p>
          <w:p w:rsidR="009C5F29" w:rsidRPr="00284324" w:rsidRDefault="009C5F29" w:rsidP="00284324">
            <w:pPr>
              <w:jc w:val="both"/>
              <w:rPr>
                <w:b/>
              </w:rPr>
            </w:pPr>
          </w:p>
          <w:p w:rsidR="009C5F29" w:rsidRPr="00284324" w:rsidRDefault="009C5F29" w:rsidP="00284324">
            <w:pPr>
              <w:jc w:val="both"/>
              <w:rPr>
                <w:b/>
              </w:rPr>
            </w:pPr>
          </w:p>
        </w:tc>
      </w:tr>
    </w:tbl>
    <w:p w:rsidR="00FF7593" w:rsidRDefault="00916D71" w:rsidP="00916D71">
      <w:pPr>
        <w:spacing w:line="240" w:lineRule="auto"/>
        <w:jc w:val="center"/>
        <w:rPr>
          <w:b/>
        </w:rPr>
      </w:pPr>
      <w:r>
        <w:rPr>
          <w:b/>
        </w:rPr>
        <w:lastRenderedPageBreak/>
        <w:t xml:space="preserve">                                                                                                                                                     </w:t>
      </w:r>
      <w:r w:rsidR="00284324" w:rsidRPr="00284324">
        <w:rPr>
          <w:b/>
        </w:rPr>
        <w:t>TEBLİĞ EDEN</w:t>
      </w:r>
    </w:p>
    <w:p w:rsidR="00000000" w:rsidRDefault="000577D2">
      <w:pPr>
        <w:divId w:val="1271160400"/>
        <w:rPr>
          <w:rFonts w:eastAsia="Times New Roman"/>
          <w:sz w:val="24"/>
          <w:szCs w:val="24"/>
        </w:rPr>
      </w:pPr>
      <w:r>
        <w:t xml:space="preserve"> </w:t>
      </w:r>
      <w:r w:rsidR="00407D9C">
        <w:rPr>
          <w:rFonts w:eastAsia="Times New Roman"/>
        </w:rPr>
        <w:t>Birol Yurtseven</w:t>
      </w:r>
    </w:p>
    <w:p w:rsidR="00284324" w:rsidRDefault="00284324" w:rsidP="00284324">
      <w:bookmarkStart w:id="0" w:name="_GoBack"/>
      <w:bookmarkEnd w:id="0"/>
    </w:p>
    <w:p w:rsidR="00284324" w:rsidRPr="00A40877" w:rsidRDefault="00284324" w:rsidP="00284324">
      <w:pPr>
        <w:rPr>
          <w:b/>
        </w:rPr>
      </w:pPr>
      <w:r>
        <w:rPr>
          <w:b/>
        </w:rPr>
        <w:t>TEBELLÜĞ EDEN</w:t>
      </w:r>
    </w:p>
    <w:p w:rsidR="00284324" w:rsidRPr="007E165A" w:rsidRDefault="00284324" w:rsidP="00284324">
      <w:pPr>
        <w:jc w:val="both"/>
      </w:pPr>
      <w:r>
        <w:t>B</w:t>
      </w:r>
      <w:r w:rsidRPr="007E165A">
        <w:t>u dokümanda açıklanan görev tanımını okudum; görevi burada belirtilen kapsamda yerine getirmeyi kabul ediyorum.</w:t>
      </w:r>
    </w:p>
    <w:p w:rsidR="00284324" w:rsidRDefault="00407D9C" w:rsidP="00CD0568">
      <w:pPr>
        <w:divId w:val="885527823"/>
        <w:rPr>
          <w:rFonts w:eastAsia="Times New Roman"/>
        </w:rPr>
      </w:pPr>
      <w:r>
        <w:rPr>
          <w:rFonts w:eastAsia="Times New Roman"/>
        </w:rPr>
        <w:t>Yılmaz Yıldız</w:t>
      </w:r>
    </w:p>
    <w:p w:rsidR="00CD0568" w:rsidRDefault="00CD0568" w:rsidP="00CD0568">
      <w:pPr>
        <w:divId w:val="885527823"/>
        <w:rPr>
          <w:rFonts w:eastAsia="Times New Roman"/>
          <w:sz w:val="24"/>
          <w:szCs w:val="24"/>
        </w:rPr>
      </w:pPr>
      <w:r>
        <w:rPr>
          <w:rFonts w:eastAsia="Times New Roman"/>
        </w:rPr>
        <w:t>Hüsne DEMİRTAŞ KAYA</w:t>
      </w:r>
    </w:p>
    <w:p w:rsidR="00CD0568" w:rsidRPr="00CD0568" w:rsidRDefault="00CD0568" w:rsidP="00CD0568">
      <w:pPr>
        <w:divId w:val="885527823"/>
        <w:rPr>
          <w:rFonts w:eastAsia="Times New Roman"/>
          <w:sz w:val="24"/>
          <w:szCs w:val="24"/>
        </w:rPr>
      </w:pPr>
    </w:p>
    <w:sectPr w:rsidR="00CD0568" w:rsidRPr="00CD0568" w:rsidSect="001755A3">
      <w:headerReference w:type="even" r:id="rId7"/>
      <w:headerReference w:type="default" r:id="rId8"/>
      <w:footerReference w:type="even" r:id="rId9"/>
      <w:footerReference w:type="default" r:id="rId10"/>
      <w:headerReference w:type="first" r:id="rId11"/>
      <w:footerReference w:type="first" r:id="rId12"/>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D9C" w:rsidRDefault="00407D9C" w:rsidP="00270F6F">
      <w:pPr>
        <w:spacing w:after="0" w:line="240" w:lineRule="auto"/>
      </w:pPr>
      <w:r>
        <w:separator/>
      </w:r>
    </w:p>
  </w:endnote>
  <w:endnote w:type="continuationSeparator" w:id="0">
    <w:p w:rsidR="00407D9C" w:rsidRDefault="00407D9C"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93" w:rsidRPr="001755A3" w:rsidRDefault="00FF7593">
    <w:pPr>
      <w:pStyle w:val="Altbilgi"/>
    </w:pPr>
  </w:p>
  <w:p w:rsidR="00000000" w:rsidRDefault="00407D9C"/>
  <w:p w:rsidR="00164C17" w:rsidRDefault="00407D9C">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D9C" w:rsidRDefault="00407D9C" w:rsidP="00270F6F">
      <w:pPr>
        <w:spacing w:after="0" w:line="240" w:lineRule="auto"/>
      </w:pPr>
      <w:r>
        <w:separator/>
      </w:r>
    </w:p>
  </w:footnote>
  <w:footnote w:type="continuationSeparator" w:id="0">
    <w:p w:rsidR="00407D9C" w:rsidRDefault="00407D9C" w:rsidP="0027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407D9C">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25"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7"/>
      <w:gridCol w:w="5860"/>
      <w:gridCol w:w="2340"/>
    </w:tblGrid>
    <w:tr w:rsidR="004345F0" w:rsidRPr="006A0EAB" w:rsidTr="009E3B61">
      <w:trPr>
        <w:cantSplit/>
        <w:trHeight w:val="844"/>
      </w:trPr>
      <w:tc>
        <w:tcPr>
          <w:tcW w:w="2357" w:type="dxa"/>
          <w:vMerge w:val="restart"/>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r>
            <w:rPr>
              <w:noProof/>
              <w:sz w:val="8"/>
              <w:lang w:eastAsia="tr-TR"/>
            </w:rPr>
            <w:drawing>
              <wp:anchor distT="0" distB="0" distL="114300" distR="114300" simplePos="0" relativeHeight="251661312" behindDoc="0" locked="0" layoutInCell="1" allowOverlap="1" wp14:anchorId="74B03073" wp14:editId="263FB2BA">
                <wp:simplePos x="0" y="0"/>
                <wp:positionH relativeFrom="column">
                  <wp:posOffset>264160</wp:posOffset>
                </wp:positionH>
                <wp:positionV relativeFrom="paragraph">
                  <wp:posOffset>130810</wp:posOffset>
                </wp:positionV>
                <wp:extent cx="781050" cy="774065"/>
                <wp:effectExtent l="0" t="0" r="0" b="698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781050" cy="774065"/>
                        </a:xfrm>
                        <a:prstGeom prst="rect">
                          <a:avLst/>
                        </a:prstGeom>
                      </pic:spPr>
                    </pic:pic>
                  </a:graphicData>
                </a:graphic>
                <wp14:sizeRelH relativeFrom="margin">
                  <wp14:pctWidth>0</wp14:pctWidth>
                </wp14:sizeRelH>
                <wp14:sizeRelV relativeFrom="margin">
                  <wp14:pctHeight>0</wp14:pctHeight>
                </wp14:sizeRelV>
              </wp:anchor>
            </w:drawing>
          </w:r>
        </w:p>
      </w:tc>
      <w:tc>
        <w:tcPr>
          <w:tcW w:w="5860" w:type="dxa"/>
          <w:tcBorders>
            <w:left w:val="single" w:sz="4" w:space="0" w:color="auto"/>
            <w:bottom w:val="single" w:sz="4" w:space="0" w:color="auto"/>
            <w:right w:val="single" w:sz="4" w:space="0" w:color="auto"/>
          </w:tcBorders>
          <w:shd w:val="clear" w:color="auto" w:fill="auto"/>
          <w:vAlign w:val="center"/>
        </w:tcPr>
        <w:p w:rsidR="004345F0" w:rsidRPr="006A0EAB" w:rsidRDefault="004345F0" w:rsidP="008A38EC">
          <w:pPr>
            <w:pStyle w:val="stbilgi"/>
            <w:rPr>
              <w:b/>
              <w:sz w:val="20"/>
              <w:szCs w:val="20"/>
            </w:rPr>
          </w:pPr>
          <w:r>
            <w:rPr>
              <w:b/>
              <w:sz w:val="20"/>
              <w:szCs w:val="20"/>
            </w:rPr>
            <w:t xml:space="preserve">                                                      </w:t>
          </w:r>
          <w:r w:rsidRPr="006A0EAB">
            <w:rPr>
              <w:b/>
              <w:sz w:val="20"/>
              <w:szCs w:val="20"/>
            </w:rPr>
            <w:t>T.C.</w:t>
          </w:r>
        </w:p>
        <w:p w:rsidR="004345F0" w:rsidRDefault="004345F0" w:rsidP="00045979">
          <w:pPr>
            <w:pStyle w:val="stbilgi"/>
            <w:jc w:val="center"/>
            <w:rPr>
              <w:b/>
              <w:sz w:val="20"/>
              <w:szCs w:val="20"/>
            </w:rPr>
          </w:pPr>
          <w:r>
            <w:rPr>
              <w:b/>
              <w:sz w:val="20"/>
              <w:szCs w:val="20"/>
            </w:rPr>
            <w:t>BOLU ABANT İZZET BAYSAL ÜNİVERSİTESİ</w:t>
          </w:r>
        </w:p>
        <w:p w:rsidR="00045979" w:rsidRPr="006A0EAB" w:rsidRDefault="00045979" w:rsidP="00045979">
          <w:pPr>
            <w:pStyle w:val="stbilgi"/>
            <w:jc w:val="center"/>
            <w:rPr>
              <w:b/>
              <w:sz w:val="20"/>
              <w:szCs w:val="20"/>
            </w:rPr>
          </w:pPr>
          <w:r>
            <w:rPr>
              <w:b/>
              <w:sz w:val="20"/>
              <w:szCs w:val="20"/>
            </w:rPr>
            <w:t>İktisadi ve İdari Bilimler Fakültesi</w:t>
          </w:r>
        </w:p>
        <w:p w:rsidR="004345F0" w:rsidRDefault="004345F0" w:rsidP="00EC3F72">
          <w:pPr>
            <w:pStyle w:val="stbilgi"/>
            <w:jc w:val="center"/>
            <w:rPr>
              <w:b/>
              <w:bCs/>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b/>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GT/037/02</w:t>
          </w:r>
        </w:p>
        <w:p w:rsidR="004345F0" w:rsidRPr="006A0EAB" w:rsidRDefault="004345F0" w:rsidP="00EC3F72">
          <w:pPr>
            <w:pStyle w:val="GvdeMetni"/>
            <w:rPr>
              <w:rFonts w:ascii="Times New Roman" w:hAnsi="Times New Roman"/>
              <w:b/>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7.06.2022</w:t>
          </w:r>
        </w:p>
        <w:p w:rsidR="004345F0" w:rsidRPr="006A0EAB" w:rsidRDefault="004345F0" w:rsidP="00EC3F72">
          <w:pPr>
            <w:pStyle w:val="GvdeMetni"/>
            <w:rPr>
              <w:rFonts w:ascii="Times New Roman" w:hAnsi="Times New Roman"/>
            </w:rPr>
          </w:pPr>
          <w:r w:rsidRPr="00A91E61">
            <w:rPr>
              <w:rFonts w:ascii="Times New Roman" w:hAnsi="Times New Roman"/>
              <w:b/>
              <w:color w:val="000000"/>
            </w:rPr>
            <w:t xml:space="preserve">Rev. No/Tar.: </w:t>
          </w:r>
          <w:r w:rsidRPr="009C549A">
            <w:rPr>
              <w:rFonts w:ascii="Times New Roman" w:hAnsi="Times New Roman"/>
              <w:color w:val="000000"/>
            </w:rPr>
            <w:t>00/...</w:t>
          </w:r>
        </w:p>
        <w:p w:rsidR="004345F0" w:rsidRPr="006A0EAB" w:rsidRDefault="004345F0" w:rsidP="00EC3F72">
          <w:pPr>
            <w:pStyle w:val="GvdeMetni"/>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CD0568">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CD0568">
            <w:rPr>
              <w:rFonts w:ascii="Times New Roman" w:hAnsi="Times New Roman"/>
              <w:b/>
              <w:noProof/>
            </w:rPr>
            <w:t>5</w:t>
          </w:r>
          <w:r w:rsidRPr="006A0EAB">
            <w:rPr>
              <w:rFonts w:ascii="Times New Roman" w:hAnsi="Times New Roman"/>
              <w:b/>
            </w:rPr>
            <w:fldChar w:fldCharType="end"/>
          </w:r>
        </w:p>
      </w:tc>
    </w:tr>
    <w:tr w:rsidR="004345F0" w:rsidRPr="006A0EAB" w:rsidTr="009E3B61">
      <w:trPr>
        <w:cantSplit/>
        <w:trHeight w:val="694"/>
      </w:trPr>
      <w:tc>
        <w:tcPr>
          <w:tcW w:w="2357" w:type="dxa"/>
          <w:vMerge/>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p>
      </w:tc>
      <w:tc>
        <w:tcPr>
          <w:tcW w:w="5860" w:type="dxa"/>
          <w:tcBorders>
            <w:left w:val="single" w:sz="4" w:space="0" w:color="auto"/>
            <w:bottom w:val="single" w:sz="4" w:space="0" w:color="auto"/>
            <w:right w:val="single" w:sz="4" w:space="0" w:color="auto"/>
          </w:tcBorders>
          <w:shd w:val="clear" w:color="auto" w:fill="auto"/>
          <w:vAlign w:val="center"/>
        </w:tcPr>
        <w:p w:rsidR="004345F0" w:rsidRPr="00F02236" w:rsidRDefault="004345F0" w:rsidP="00EC3F72">
          <w:pPr>
            <w:pStyle w:val="stbilgi"/>
            <w:jc w:val="center"/>
            <w:rPr>
              <w:b/>
              <w:bCs/>
              <w:sz w:val="20"/>
              <w:szCs w:val="20"/>
            </w:rPr>
          </w:pPr>
          <w:r>
            <w:rPr>
              <w:b/>
              <w:bCs/>
              <w:sz w:val="20"/>
              <w:szCs w:val="20"/>
            </w:rPr>
            <w:t>ŞEF</w:t>
          </w:r>
        </w:p>
      </w:tc>
      <w:tc>
        <w:tcPr>
          <w:tcW w:w="2340" w:type="dxa"/>
          <w:vMerge/>
          <w:tcBorders>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rPr>
          </w:pPr>
        </w:p>
      </w:tc>
    </w:tr>
  </w:tbl>
  <w:p w:rsidR="00EC3F72" w:rsidRDefault="002052AE" w:rsidP="002052AE">
    <w:pPr>
      <w:pStyle w:val="stbilgi"/>
      <w:tabs>
        <w:tab w:val="clear" w:pos="4536"/>
        <w:tab w:val="clear" w:pos="9072"/>
        <w:tab w:val="left" w:pos="7425"/>
      </w:tabs>
    </w:pPr>
    <w:r>
      <w:tab/>
    </w:r>
  </w:p>
  <w:p w:rsidR="00452356" w:rsidRDefault="0045235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407D9C">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D86296"/>
    <w:multiLevelType w:val="multilevel"/>
    <w:tmpl w:val="9B243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E901FCE"/>
    <w:multiLevelType w:val="hybridMultilevel"/>
    <w:tmpl w:val="CB8690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71"/>
    <w:rsid w:val="0000017D"/>
    <w:rsid w:val="00027D33"/>
    <w:rsid w:val="000302C9"/>
    <w:rsid w:val="00045979"/>
    <w:rsid w:val="000577D2"/>
    <w:rsid w:val="000B1650"/>
    <w:rsid w:val="00140EC8"/>
    <w:rsid w:val="0014311D"/>
    <w:rsid w:val="001755A3"/>
    <w:rsid w:val="001A37E9"/>
    <w:rsid w:val="001C601C"/>
    <w:rsid w:val="001D1258"/>
    <w:rsid w:val="001E0A87"/>
    <w:rsid w:val="002052AE"/>
    <w:rsid w:val="00270F6F"/>
    <w:rsid w:val="00284324"/>
    <w:rsid w:val="00295C03"/>
    <w:rsid w:val="00333F28"/>
    <w:rsid w:val="003D58D2"/>
    <w:rsid w:val="00407D9C"/>
    <w:rsid w:val="0042436D"/>
    <w:rsid w:val="004345F0"/>
    <w:rsid w:val="00452356"/>
    <w:rsid w:val="00481D6B"/>
    <w:rsid w:val="00491EAE"/>
    <w:rsid w:val="00494452"/>
    <w:rsid w:val="004C182D"/>
    <w:rsid w:val="004F01E9"/>
    <w:rsid w:val="00500F8A"/>
    <w:rsid w:val="00537BAC"/>
    <w:rsid w:val="00544BED"/>
    <w:rsid w:val="00555D8B"/>
    <w:rsid w:val="0056700A"/>
    <w:rsid w:val="00570C0E"/>
    <w:rsid w:val="005960EE"/>
    <w:rsid w:val="00596260"/>
    <w:rsid w:val="00651B59"/>
    <w:rsid w:val="00656C07"/>
    <w:rsid w:val="006872D1"/>
    <w:rsid w:val="00693A3E"/>
    <w:rsid w:val="006A073C"/>
    <w:rsid w:val="006A5F93"/>
    <w:rsid w:val="006E14D2"/>
    <w:rsid w:val="0073615A"/>
    <w:rsid w:val="00744FC1"/>
    <w:rsid w:val="007567EE"/>
    <w:rsid w:val="00772391"/>
    <w:rsid w:val="00794EF6"/>
    <w:rsid w:val="007B4824"/>
    <w:rsid w:val="008419D1"/>
    <w:rsid w:val="00862008"/>
    <w:rsid w:val="00896B20"/>
    <w:rsid w:val="008A38EC"/>
    <w:rsid w:val="008B3324"/>
    <w:rsid w:val="008B3390"/>
    <w:rsid w:val="008C0131"/>
    <w:rsid w:val="008F5AB1"/>
    <w:rsid w:val="00916D71"/>
    <w:rsid w:val="00944CFD"/>
    <w:rsid w:val="009508FB"/>
    <w:rsid w:val="009B7967"/>
    <w:rsid w:val="009C5F29"/>
    <w:rsid w:val="009E3B61"/>
    <w:rsid w:val="009F788A"/>
    <w:rsid w:val="00A2382A"/>
    <w:rsid w:val="00AE28A1"/>
    <w:rsid w:val="00B52475"/>
    <w:rsid w:val="00BC353E"/>
    <w:rsid w:val="00BC7F0D"/>
    <w:rsid w:val="00BD52E9"/>
    <w:rsid w:val="00C34110"/>
    <w:rsid w:val="00C5278B"/>
    <w:rsid w:val="00C73521"/>
    <w:rsid w:val="00CD0568"/>
    <w:rsid w:val="00EC3F72"/>
    <w:rsid w:val="00F6088A"/>
    <w:rsid w:val="00FB668D"/>
    <w:rsid w:val="00FD6D48"/>
    <w:rsid w:val="00FE67B6"/>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DE0BA286-31F3-447F-A411-3346B273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70F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F6F"/>
  </w:style>
  <w:style w:type="paragraph" w:styleId="Altbilgi">
    <w:name w:val="footer"/>
    <w:basedOn w:val="Normal"/>
    <w:link w:val="AltbilgiChar"/>
    <w:unhideWhenUsed/>
    <w:rsid w:val="00270F6F"/>
    <w:pPr>
      <w:tabs>
        <w:tab w:val="center" w:pos="4536"/>
        <w:tab w:val="right" w:pos="9072"/>
      </w:tabs>
      <w:spacing w:after="0" w:line="240" w:lineRule="auto"/>
    </w:pPr>
  </w:style>
  <w:style w:type="character" w:customStyle="1" w:styleId="AltbilgiChar">
    <w:name w:val="Altbilgi Char"/>
    <w:basedOn w:val="VarsaylanParagrafYazTipi"/>
    <w:link w:val="Altbilgi"/>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GvdeMetniGirintisi2">
    <w:name w:val="Body Text Indent 2"/>
    <w:basedOn w:val="Normal"/>
    <w:link w:val="GvdeMetniGirintisi2Char"/>
    <w:uiPriority w:val="99"/>
    <w:semiHidden/>
    <w:unhideWhenUsed/>
    <w:rsid w:val="00EC3F7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C3F72"/>
  </w:style>
  <w:style w:type="paragraph" w:styleId="NormalWeb">
    <w:name w:val="Normal (Web)"/>
    <w:basedOn w:val="Normal"/>
    <w:uiPriority w:val="99"/>
    <w:semiHidden/>
    <w:unhideWhenUsed/>
    <w:pPr>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527823">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4479274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136096399">
      <w:bodyDiv w:val="1"/>
      <w:marLeft w:val="0"/>
      <w:marRight w:val="0"/>
      <w:marTop w:val="0"/>
      <w:marBottom w:val="0"/>
      <w:divBdr>
        <w:top w:val="none" w:sz="0" w:space="0" w:color="auto"/>
        <w:left w:val="none" w:sz="0" w:space="0" w:color="auto"/>
        <w:bottom w:val="none" w:sz="0" w:space="0" w:color="auto"/>
        <w:right w:val="none" w:sz="0" w:space="0" w:color="auto"/>
      </w:divBdr>
    </w:div>
    <w:div w:id="1204713968">
      <w:bodyDiv w:val="1"/>
      <w:marLeft w:val="0"/>
      <w:marRight w:val="0"/>
      <w:marTop w:val="0"/>
      <w:marBottom w:val="0"/>
      <w:divBdr>
        <w:top w:val="none" w:sz="0" w:space="0" w:color="auto"/>
        <w:left w:val="none" w:sz="0" w:space="0" w:color="auto"/>
        <w:bottom w:val="none" w:sz="0" w:space="0" w:color="auto"/>
        <w:right w:val="none" w:sz="0" w:space="0" w:color="auto"/>
      </w:divBdr>
    </w:div>
    <w:div w:id="1271160400">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732387945">
      <w:bodyDiv w:val="1"/>
      <w:marLeft w:val="0"/>
      <w:marRight w:val="0"/>
      <w:marTop w:val="0"/>
      <w:marBottom w:val="0"/>
      <w:divBdr>
        <w:top w:val="none" w:sz="0" w:space="0" w:color="auto"/>
        <w:left w:val="none" w:sz="0" w:space="0" w:color="auto"/>
        <w:bottom w:val="none" w:sz="0" w:space="0" w:color="auto"/>
        <w:right w:val="none" w:sz="0" w:space="0" w:color="auto"/>
      </w:divBdr>
    </w:div>
    <w:div w:id="178515226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DELL5568</dc:creator>
  <cp:lastModifiedBy>Dekan sekreterliği</cp:lastModifiedBy>
  <cp:revision>2</cp:revision>
  <dcterms:created xsi:type="dcterms:W3CDTF">2025-04-21T12:00:00Z</dcterms:created>
  <dcterms:modified xsi:type="dcterms:W3CDTF">2025-04-21T12:00:00Z</dcterms:modified>
</cp:coreProperties>
</file>